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both"/>
        <w:rPr>
          <w:rFonts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关于公开</w:t>
      </w:r>
      <w:r>
        <w:rPr>
          <w:rFonts w:hint="eastAsia" w:ascii="方正小标宋简体" w:hAnsi="方正小标宋简体" w:eastAsia="方正小标宋简体" w:cs="方正小标宋简体"/>
          <w:sz w:val="44"/>
          <w:szCs w:val="44"/>
          <w:lang w:eastAsia="zh-CN"/>
        </w:rPr>
        <w:t>遴</w:t>
      </w:r>
      <w:r>
        <w:rPr>
          <w:rFonts w:hint="eastAsia" w:ascii="方正小标宋简体" w:hAnsi="方正小标宋简体" w:eastAsia="方正小标宋简体" w:cs="方正小标宋简体"/>
          <w:sz w:val="44"/>
          <w:szCs w:val="44"/>
        </w:rPr>
        <w:t>选武义县电动工具、餐厨用品、</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五金加工等行业“N+X”数字化</w:t>
      </w:r>
    </w:p>
    <w:p>
      <w:pPr>
        <w:spacing w:line="520" w:lineRule="exact"/>
        <w:jc w:val="center"/>
        <w:rPr>
          <w:rFonts w:ascii="Times New Roman" w:hAnsi="Times New Roman" w:eastAsia="仿宋_GB2312" w:cs="Times New Roman"/>
          <w:sz w:val="32"/>
          <w:szCs w:val="32"/>
        </w:rPr>
      </w:pPr>
      <w:r>
        <w:rPr>
          <w:rFonts w:hint="eastAsia" w:ascii="方正小标宋简体" w:hAnsi="方正小标宋简体" w:eastAsia="方正小标宋简体" w:cs="方正小标宋简体"/>
          <w:sz w:val="44"/>
          <w:szCs w:val="44"/>
        </w:rPr>
        <w:t>改造服务商的通知</w:t>
      </w:r>
    </w:p>
    <w:p>
      <w:pPr>
        <w:spacing w:line="520" w:lineRule="exact"/>
        <w:ind w:firstLine="640" w:firstLineChars="200"/>
        <w:rPr>
          <w:rFonts w:ascii="Times New Roman" w:hAnsi="Times New Roman" w:eastAsia="仿宋_GB2312" w:cs="Times New Roman"/>
          <w:sz w:val="32"/>
          <w:szCs w:val="32"/>
        </w:rPr>
      </w:pPr>
    </w:p>
    <w:p>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根据《</w:t>
      </w:r>
      <w:r>
        <w:rPr>
          <w:rFonts w:hint="eastAsia" w:ascii="Times New Roman" w:hAnsi="Times New Roman" w:eastAsia="仿宋_GB2312" w:cs="Times New Roman"/>
          <w:sz w:val="32"/>
          <w:szCs w:val="32"/>
        </w:rPr>
        <w:t>武义县细分行业中小企业轻量级数字化改造实施方案</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《武义县细分行业中小企业轻量级数字化改造公开遴选服务商实施办法》</w:t>
      </w:r>
      <w:r>
        <w:rPr>
          <w:rFonts w:ascii="Times New Roman" w:hAnsi="Times New Roman" w:eastAsia="仿宋_GB2312" w:cs="Times New Roman"/>
          <w:sz w:val="32"/>
          <w:szCs w:val="32"/>
        </w:rPr>
        <w:t>等文件精神，</w:t>
      </w:r>
      <w:r>
        <w:rPr>
          <w:rFonts w:hint="eastAsia" w:ascii="Times New Roman" w:hAnsi="Times New Roman" w:eastAsia="仿宋_GB2312" w:cs="Times New Roman"/>
          <w:sz w:val="32"/>
          <w:szCs w:val="32"/>
          <w:lang w:eastAsia="zh-CN"/>
        </w:rPr>
        <w:t>经研究，现决定</w:t>
      </w:r>
      <w:r>
        <w:rPr>
          <w:rFonts w:hint="eastAsia" w:ascii="Times New Roman" w:hAnsi="Times New Roman" w:eastAsia="仿宋_GB2312" w:cs="Times New Roman"/>
          <w:sz w:val="32"/>
          <w:szCs w:val="32"/>
        </w:rPr>
        <w:t>开展武义县电动工具、餐厨用品、五金加工等行业“N+X”数字化改造服务商</w:t>
      </w:r>
      <w:r>
        <w:rPr>
          <w:rFonts w:hint="eastAsia" w:ascii="Times New Roman" w:hAnsi="Times New Roman" w:eastAsia="仿宋_GB2312" w:cs="Times New Roman"/>
          <w:sz w:val="32"/>
          <w:szCs w:val="32"/>
          <w:lang w:eastAsia="zh-CN"/>
        </w:rPr>
        <w:t>公开遴选评审，</w:t>
      </w:r>
      <w:r>
        <w:rPr>
          <w:rFonts w:ascii="Times New Roman" w:hAnsi="Times New Roman" w:eastAsia="仿宋_GB2312" w:cs="Times New Roman"/>
          <w:sz w:val="32"/>
          <w:szCs w:val="32"/>
        </w:rPr>
        <w:t>有关事项通知如下：</w:t>
      </w:r>
    </w:p>
    <w:p>
      <w:pPr>
        <w:spacing w:line="520" w:lineRule="exact"/>
        <w:ind w:firstLine="640" w:firstLineChars="200"/>
        <w:outlineLvl w:val="0"/>
        <w:rPr>
          <w:rFonts w:ascii="Times New Roman" w:hAnsi="Times New Roman" w:eastAsia="黑体" w:cs="Times New Roman"/>
          <w:sz w:val="32"/>
          <w:szCs w:val="32"/>
        </w:rPr>
      </w:pPr>
      <w:r>
        <w:rPr>
          <w:rFonts w:ascii="Times New Roman" w:hAnsi="Times New Roman" w:eastAsia="黑体" w:cs="Times New Roman"/>
          <w:sz w:val="32"/>
          <w:szCs w:val="32"/>
        </w:rPr>
        <w:t>一、时间地点</w:t>
      </w:r>
    </w:p>
    <w:p>
      <w:pPr>
        <w:spacing w:line="52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时间</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月2</w:t>
      </w:r>
      <w:r>
        <w:rPr>
          <w:rFonts w:hint="eastAsia" w:ascii="Times New Roman" w:hAnsi="Times New Roman" w:eastAsia="仿宋_GB2312" w:cs="Times New Roman"/>
          <w:sz w:val="32"/>
          <w:szCs w:val="32"/>
          <w:lang w:val="en-US" w:eastAsia="zh-CN"/>
        </w:rPr>
        <w:t>7日（详见附件1）；</w:t>
      </w:r>
    </w:p>
    <w:p>
      <w:pPr>
        <w:spacing w:line="52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地点</w:t>
      </w:r>
      <w:r>
        <w:rPr>
          <w:rFonts w:hint="eastAsia" w:ascii="Times New Roman" w:hAnsi="Times New Roman" w:eastAsia="仿宋_GB2312" w:cs="Times New Roman"/>
          <w:sz w:val="32"/>
          <w:szCs w:val="32"/>
          <w:lang w:eastAsia="zh-CN"/>
        </w:rPr>
        <w:t>：武义县明招温泉国际大酒店</w:t>
      </w:r>
      <w:r>
        <w:rPr>
          <w:rFonts w:hint="eastAsia" w:ascii="Times New Roman" w:hAnsi="Times New Roman" w:eastAsia="仿宋_GB2312" w:cs="Times New Roman"/>
          <w:sz w:val="32"/>
          <w:szCs w:val="32"/>
          <w:lang w:val="en-US" w:eastAsia="zh-CN"/>
        </w:rPr>
        <w:t>23层大会议室</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武义县明招</w:t>
      </w:r>
      <w:r>
        <w:rPr>
          <w:rFonts w:hint="eastAsia" w:ascii="Times New Roman" w:hAnsi="Times New Roman" w:eastAsia="仿宋_GB2312" w:cs="Times New Roman"/>
          <w:sz w:val="32"/>
          <w:szCs w:val="32"/>
        </w:rPr>
        <w:t>路</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号）</w:t>
      </w:r>
      <w:r>
        <w:rPr>
          <w:rFonts w:hint="eastAsia" w:ascii="Times New Roman" w:hAnsi="Times New Roman" w:eastAsia="仿宋_GB2312" w:cs="Times New Roman"/>
          <w:sz w:val="32"/>
          <w:szCs w:val="32"/>
          <w:lang w:eastAsia="zh-CN"/>
        </w:rPr>
        <w:t>。</w:t>
      </w:r>
    </w:p>
    <w:p>
      <w:pPr>
        <w:spacing w:line="520" w:lineRule="exact"/>
        <w:ind w:firstLine="640" w:firstLineChars="200"/>
        <w:outlineLvl w:val="0"/>
        <w:rPr>
          <w:rFonts w:ascii="Times New Roman" w:hAnsi="Times New Roman" w:eastAsia="黑体" w:cs="Times New Roman"/>
          <w:sz w:val="32"/>
          <w:szCs w:val="32"/>
        </w:rPr>
      </w:pPr>
      <w:r>
        <w:rPr>
          <w:rFonts w:ascii="Times New Roman" w:hAnsi="Times New Roman" w:eastAsia="黑体" w:cs="Times New Roman"/>
          <w:sz w:val="32"/>
          <w:szCs w:val="32"/>
        </w:rPr>
        <w:t>二、参加人员</w:t>
      </w:r>
    </w:p>
    <w:p>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.评审</w:t>
      </w:r>
      <w:r>
        <w:rPr>
          <w:rFonts w:hint="eastAsia" w:ascii="Times New Roman" w:hAnsi="Times New Roman" w:eastAsia="仿宋_GB2312" w:cs="Times New Roman"/>
          <w:sz w:val="32"/>
          <w:szCs w:val="32"/>
          <w:lang w:eastAsia="zh-CN"/>
        </w:rPr>
        <w:t>委员会成员</w:t>
      </w:r>
      <w:r>
        <w:rPr>
          <w:rFonts w:hint="eastAsia" w:ascii="Times New Roman" w:hAnsi="Times New Roman" w:eastAsia="仿宋_GB2312" w:cs="Times New Roman"/>
          <w:sz w:val="32"/>
          <w:szCs w:val="32"/>
        </w:rPr>
        <w:t>；</w:t>
      </w:r>
    </w:p>
    <w:p>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hint="eastAsia" w:ascii="Times New Roman" w:hAnsi="Times New Roman" w:eastAsia="仿宋_GB2312" w:cs="Times New Roman"/>
          <w:sz w:val="32"/>
          <w:szCs w:val="32"/>
          <w:lang w:eastAsia="zh-CN"/>
        </w:rPr>
        <w:t>县经济商务局工作</w:t>
      </w:r>
      <w:r>
        <w:rPr>
          <w:rFonts w:hint="eastAsia" w:ascii="Times New Roman" w:hAnsi="Times New Roman" w:eastAsia="仿宋_GB2312" w:cs="Times New Roman"/>
          <w:sz w:val="32"/>
          <w:szCs w:val="32"/>
        </w:rPr>
        <w:t>人员；</w:t>
      </w:r>
    </w:p>
    <w:p>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3.候选服务商</w:t>
      </w:r>
      <w:r>
        <w:rPr>
          <w:rFonts w:hint="eastAsia" w:ascii="Times New Roman" w:hAnsi="Times New Roman" w:eastAsia="仿宋_GB2312" w:cs="Times New Roman"/>
          <w:sz w:val="32"/>
          <w:szCs w:val="32"/>
          <w:lang w:eastAsia="zh-CN"/>
        </w:rPr>
        <w:t>讲演</w:t>
      </w:r>
      <w:r>
        <w:rPr>
          <w:rFonts w:hint="eastAsia" w:ascii="Times New Roman" w:hAnsi="Times New Roman" w:eastAsia="仿宋_GB2312" w:cs="Times New Roman"/>
          <w:sz w:val="32"/>
          <w:szCs w:val="32"/>
        </w:rPr>
        <w:t>答辩人员</w:t>
      </w:r>
      <w:r>
        <w:rPr>
          <w:rFonts w:hint="eastAsia" w:ascii="Times New Roman" w:hAnsi="Times New Roman" w:eastAsia="仿宋_GB2312" w:cs="Times New Roman"/>
          <w:sz w:val="32"/>
          <w:szCs w:val="32"/>
          <w:lang w:eastAsia="zh-CN"/>
        </w:rPr>
        <w:t>（每家服务商最多</w:t>
      </w:r>
      <w:r>
        <w:rPr>
          <w:rFonts w:hint="eastAsia" w:ascii="Times New Roman" w:hAnsi="Times New Roman" w:eastAsia="仿宋_GB2312" w:cs="Times New Roman"/>
          <w:sz w:val="32"/>
          <w:szCs w:val="32"/>
        </w:rPr>
        <w:t>3人</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w:t>
      </w:r>
    </w:p>
    <w:p>
      <w:pPr>
        <w:spacing w:line="520" w:lineRule="exact"/>
        <w:ind w:firstLine="640" w:firstLineChars="200"/>
        <w:outlineLvl w:val="0"/>
        <w:rPr>
          <w:rFonts w:hint="eastAsia" w:ascii="Times New Roman" w:hAnsi="Times New Roman" w:eastAsia="黑体" w:cs="Times New Roman"/>
          <w:sz w:val="32"/>
          <w:szCs w:val="32"/>
          <w:lang w:eastAsia="zh-CN"/>
        </w:rPr>
      </w:pPr>
      <w:r>
        <w:rPr>
          <w:rFonts w:ascii="Times New Roman" w:hAnsi="Times New Roman" w:eastAsia="黑体" w:cs="Times New Roman"/>
          <w:sz w:val="32"/>
          <w:szCs w:val="32"/>
        </w:rPr>
        <w:t>三、</w:t>
      </w:r>
      <w:r>
        <w:rPr>
          <w:rFonts w:hint="eastAsia" w:ascii="Times New Roman" w:hAnsi="Times New Roman" w:eastAsia="黑体" w:cs="Times New Roman"/>
          <w:sz w:val="32"/>
          <w:szCs w:val="32"/>
          <w:lang w:eastAsia="zh-CN"/>
        </w:rPr>
        <w:t>遴选流程</w:t>
      </w:r>
    </w:p>
    <w:p>
      <w:pPr>
        <w:spacing w:line="560" w:lineRule="exact"/>
        <w:ind w:firstLine="643" w:firstLineChars="200"/>
        <w:jc w:val="left"/>
        <w:rPr>
          <w:rFonts w:ascii="Times New Roman" w:hAnsi="Times New Roman" w:eastAsia="仿宋_GB2312" w:cs="Times New Roman"/>
          <w:sz w:val="32"/>
          <w:szCs w:val="32"/>
        </w:rPr>
      </w:pPr>
      <w:r>
        <w:rPr>
          <w:rFonts w:hint="eastAsia" w:ascii="楷体" w:hAnsi="楷体" w:eastAsia="楷体" w:cs="楷体"/>
          <w:b/>
          <w:bCs/>
          <w:sz w:val="32"/>
          <w:szCs w:val="32"/>
        </w:rPr>
        <w:t>1.陈述讲演。</w:t>
      </w:r>
      <w:r>
        <w:rPr>
          <w:rFonts w:hint="eastAsia" w:ascii="Times New Roman" w:hAnsi="Times New Roman" w:eastAsia="仿宋_GB2312" w:cs="Times New Roman"/>
          <w:sz w:val="32"/>
          <w:szCs w:val="32"/>
          <w:lang w:eastAsia="zh-CN"/>
        </w:rPr>
        <w:t>根据行业分别进行，</w:t>
      </w:r>
      <w:r>
        <w:rPr>
          <w:rFonts w:hint="eastAsia" w:ascii="Times New Roman" w:hAnsi="Times New Roman" w:eastAsia="仿宋_GB2312" w:cs="Times New Roman"/>
          <w:sz w:val="32"/>
          <w:szCs w:val="32"/>
        </w:rPr>
        <w:t>候选服务商</w:t>
      </w:r>
      <w:r>
        <w:rPr>
          <w:rFonts w:ascii="Times New Roman" w:hAnsi="Times New Roman" w:eastAsia="仿宋_GB2312" w:cs="Times New Roman"/>
          <w:sz w:val="32"/>
          <w:szCs w:val="32"/>
        </w:rPr>
        <w:t>按</w:t>
      </w:r>
      <w:r>
        <w:rPr>
          <w:rFonts w:hint="eastAsia" w:ascii="Times New Roman" w:hAnsi="Times New Roman" w:eastAsia="仿宋_GB2312" w:cs="Times New Roman"/>
          <w:sz w:val="32"/>
          <w:szCs w:val="32"/>
          <w:lang w:eastAsia="zh-CN"/>
        </w:rPr>
        <w:t>排序（详见附件</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eastAsia="zh-CN"/>
        </w:rPr>
        <w:t>），结合</w:t>
      </w:r>
      <w:r>
        <w:rPr>
          <w:rFonts w:ascii="Times New Roman" w:hAnsi="Times New Roman" w:eastAsia="仿宋_GB2312" w:cs="Times New Roman"/>
          <w:sz w:val="32"/>
          <w:szCs w:val="32"/>
        </w:rPr>
        <w:t>PPT依次进行</w:t>
      </w:r>
      <w:r>
        <w:rPr>
          <w:rFonts w:hint="eastAsia" w:ascii="Times New Roman" w:hAnsi="Times New Roman" w:eastAsia="仿宋_GB2312" w:cs="Times New Roman"/>
          <w:sz w:val="32"/>
          <w:szCs w:val="32"/>
          <w:lang w:eastAsia="zh-CN"/>
        </w:rPr>
        <w:t>讲述</w:t>
      </w:r>
      <w:r>
        <w:rPr>
          <w:rFonts w:ascii="Times New Roman" w:hAnsi="Times New Roman" w:eastAsia="仿宋_GB2312" w:cs="Times New Roman"/>
          <w:sz w:val="32"/>
          <w:szCs w:val="32"/>
        </w:rPr>
        <w:t>演示</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每家时间不超过</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分钟</w:t>
      </w:r>
      <w:r>
        <w:rPr>
          <w:rFonts w:hint="eastAsia" w:ascii="Times New Roman" w:hAnsi="Times New Roman" w:eastAsia="仿宋_GB2312" w:cs="Times New Roman"/>
          <w:sz w:val="32"/>
          <w:szCs w:val="32"/>
        </w:rPr>
        <w:t>。</w:t>
      </w:r>
    </w:p>
    <w:p>
      <w:pPr>
        <w:spacing w:line="560" w:lineRule="exact"/>
        <w:ind w:firstLine="643" w:firstLineChars="200"/>
        <w:jc w:val="left"/>
        <w:rPr>
          <w:rFonts w:ascii="Times New Roman" w:hAnsi="Times New Roman" w:eastAsia="仿宋_GB2312" w:cs="Times New Roman"/>
          <w:sz w:val="32"/>
          <w:szCs w:val="32"/>
        </w:rPr>
      </w:pPr>
      <w:r>
        <w:rPr>
          <w:rFonts w:hint="eastAsia" w:ascii="楷体" w:hAnsi="楷体" w:eastAsia="楷体" w:cs="楷体"/>
          <w:b/>
          <w:bCs/>
          <w:sz w:val="32"/>
          <w:szCs w:val="32"/>
        </w:rPr>
        <w:t>2.现场答辩。</w:t>
      </w:r>
      <w:r>
        <w:rPr>
          <w:rFonts w:hint="eastAsia" w:ascii="Times New Roman" w:hAnsi="Times New Roman" w:eastAsia="仿宋_GB2312" w:cs="Times New Roman"/>
          <w:sz w:val="32"/>
          <w:szCs w:val="32"/>
        </w:rPr>
        <w:t>候选服务商就</w:t>
      </w:r>
      <w:r>
        <w:rPr>
          <w:rFonts w:hint="eastAsia" w:ascii="Times New Roman" w:hAnsi="Times New Roman" w:eastAsia="仿宋_GB2312" w:cs="Times New Roman"/>
          <w:sz w:val="32"/>
          <w:szCs w:val="32"/>
          <w:lang w:eastAsia="zh-CN"/>
        </w:rPr>
        <w:t>评审委员会</w:t>
      </w:r>
      <w:r>
        <w:rPr>
          <w:rFonts w:ascii="Times New Roman" w:hAnsi="Times New Roman" w:eastAsia="仿宋_GB2312" w:cs="Times New Roman"/>
          <w:sz w:val="32"/>
          <w:szCs w:val="32"/>
        </w:rPr>
        <w:t>提出的问题现场答辩</w:t>
      </w:r>
      <w:r>
        <w:rPr>
          <w:rFonts w:hint="eastAsia" w:ascii="Times New Roman" w:hAnsi="Times New Roman" w:eastAsia="仿宋_GB2312" w:cs="Times New Roman"/>
          <w:sz w:val="32"/>
          <w:szCs w:val="32"/>
        </w:rPr>
        <w:t>，每</w:t>
      </w:r>
      <w:r>
        <w:rPr>
          <w:rFonts w:hint="eastAsia" w:ascii="Times New Roman" w:hAnsi="Times New Roman" w:eastAsia="仿宋_GB2312" w:cs="Times New Roman"/>
          <w:sz w:val="32"/>
          <w:szCs w:val="32"/>
          <w:lang w:eastAsia="zh-CN"/>
        </w:rPr>
        <w:t>家</w:t>
      </w:r>
      <w:r>
        <w:rPr>
          <w:rFonts w:hint="eastAsia" w:ascii="Times New Roman" w:hAnsi="Times New Roman" w:eastAsia="仿宋_GB2312" w:cs="Times New Roman"/>
          <w:sz w:val="32"/>
          <w:szCs w:val="32"/>
        </w:rPr>
        <w:t>时间</w:t>
      </w:r>
      <w:r>
        <w:rPr>
          <w:rFonts w:hint="eastAsia" w:ascii="Times New Roman" w:hAnsi="Times New Roman" w:eastAsia="仿宋_GB2312" w:cs="Times New Roman"/>
          <w:sz w:val="32"/>
          <w:szCs w:val="32"/>
          <w:lang w:eastAsia="zh-CN"/>
        </w:rPr>
        <w:t>不超过</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分钟。</w:t>
      </w:r>
    </w:p>
    <w:p>
      <w:pPr>
        <w:spacing w:line="560" w:lineRule="exact"/>
        <w:ind w:firstLine="643" w:firstLineChars="200"/>
        <w:jc w:val="left"/>
        <w:rPr>
          <w:rFonts w:ascii="Times New Roman" w:hAnsi="Times New Roman" w:eastAsia="仿宋_GB2312" w:cs="Times New Roman"/>
          <w:sz w:val="32"/>
          <w:szCs w:val="32"/>
        </w:rPr>
      </w:pPr>
      <w:r>
        <w:rPr>
          <w:rFonts w:hint="eastAsia" w:ascii="楷体" w:hAnsi="楷体" w:eastAsia="楷体" w:cs="楷体"/>
          <w:b/>
          <w:bCs/>
          <w:sz w:val="32"/>
          <w:szCs w:val="32"/>
        </w:rPr>
        <w:t>3.</w:t>
      </w:r>
      <w:r>
        <w:rPr>
          <w:rFonts w:hint="eastAsia" w:ascii="楷体" w:hAnsi="楷体" w:eastAsia="楷体" w:cs="楷体"/>
          <w:b/>
          <w:bCs/>
          <w:sz w:val="32"/>
          <w:szCs w:val="32"/>
          <w:lang w:eastAsia="zh-CN"/>
        </w:rPr>
        <w:t>确定分值</w:t>
      </w:r>
      <w:r>
        <w:rPr>
          <w:rFonts w:hint="eastAsia" w:ascii="楷体" w:hAnsi="楷体" w:eastAsia="楷体" w:cs="楷体"/>
          <w:b/>
          <w:bCs/>
          <w:sz w:val="32"/>
          <w:szCs w:val="32"/>
        </w:rPr>
        <w:t>。</w:t>
      </w:r>
      <w:r>
        <w:rPr>
          <w:rFonts w:ascii="Times New Roman" w:hAnsi="Times New Roman" w:eastAsia="仿宋_GB2312" w:cs="Times New Roman"/>
          <w:sz w:val="32"/>
          <w:szCs w:val="32"/>
        </w:rPr>
        <w:t>评审</w:t>
      </w:r>
      <w:r>
        <w:rPr>
          <w:rFonts w:hint="eastAsia" w:ascii="Times New Roman" w:hAnsi="Times New Roman" w:eastAsia="仿宋_GB2312" w:cs="Times New Roman"/>
          <w:sz w:val="32"/>
          <w:szCs w:val="32"/>
          <w:lang w:eastAsia="zh-CN"/>
        </w:rPr>
        <w:t>委员会对照遴选评分</w:t>
      </w:r>
      <w:r>
        <w:rPr>
          <w:rFonts w:ascii="Times New Roman" w:hAnsi="Times New Roman" w:eastAsia="仿宋_GB2312" w:cs="Times New Roman"/>
          <w:sz w:val="32"/>
          <w:szCs w:val="32"/>
        </w:rPr>
        <w:t>标准，</w:t>
      </w:r>
      <w:r>
        <w:rPr>
          <w:rFonts w:hint="eastAsia" w:ascii="Times New Roman" w:hAnsi="Times New Roman" w:eastAsia="仿宋_GB2312" w:cs="Times New Roman"/>
          <w:sz w:val="32"/>
          <w:szCs w:val="32"/>
          <w:lang w:eastAsia="zh-CN"/>
        </w:rPr>
        <w:t>根据候选服务商提交的参加遴选材料、现场陈述讲演情况进行打分，并按计分规则确定每家候选服务商的最终得分</w:t>
      </w:r>
      <w:r>
        <w:rPr>
          <w:rFonts w:ascii="Times New Roman" w:hAnsi="Times New Roman" w:eastAsia="仿宋_GB2312" w:cs="Times New Roman"/>
          <w:sz w:val="32"/>
          <w:szCs w:val="32"/>
        </w:rPr>
        <w:t>。</w:t>
      </w:r>
    </w:p>
    <w:p>
      <w:pPr>
        <w:spacing w:line="52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四、其它事项</w:t>
      </w:r>
    </w:p>
    <w:p>
      <w:pPr>
        <w:spacing w:line="56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1.请各候选服务商</w:t>
      </w:r>
      <w:r>
        <w:rPr>
          <w:rFonts w:hint="eastAsia" w:ascii="Times New Roman" w:hAnsi="Times New Roman" w:eastAsia="仿宋_GB2312" w:cs="Times New Roman"/>
          <w:sz w:val="32"/>
          <w:szCs w:val="32"/>
          <w:lang w:eastAsia="zh-CN"/>
        </w:rPr>
        <w:t>提前</w:t>
      </w:r>
      <w:r>
        <w:rPr>
          <w:rFonts w:hint="eastAsia" w:ascii="Times New Roman" w:hAnsi="Times New Roman" w:eastAsia="仿宋_GB2312" w:cs="Times New Roman"/>
          <w:sz w:val="32"/>
          <w:szCs w:val="32"/>
        </w:rPr>
        <w:t>做好PPT的准备工作，</w:t>
      </w:r>
      <w:r>
        <w:rPr>
          <w:rFonts w:hint="eastAsia" w:ascii="Times New Roman" w:hAnsi="Times New Roman" w:eastAsia="仿宋_GB2312" w:cs="Times New Roman"/>
          <w:sz w:val="32"/>
          <w:szCs w:val="32"/>
          <w:lang w:eastAsia="zh-CN"/>
        </w:rPr>
        <w:t>并拷贝到</w:t>
      </w:r>
      <w:r>
        <w:rPr>
          <w:rFonts w:hint="eastAsia" w:ascii="Times New Roman" w:hAnsi="Times New Roman" w:eastAsia="仿宋_GB2312" w:cs="Times New Roman"/>
          <w:sz w:val="32"/>
          <w:szCs w:val="32"/>
          <w:lang w:val="en-US" w:eastAsia="zh-CN"/>
        </w:rPr>
        <w:t>U盘带至公开遴选现场</w:t>
      </w:r>
      <w:r>
        <w:rPr>
          <w:rFonts w:hint="eastAsia" w:ascii="Times New Roman" w:hAnsi="Times New Roman" w:eastAsia="仿宋_GB2312" w:cs="Times New Roman"/>
          <w:sz w:val="32"/>
          <w:szCs w:val="32"/>
        </w:rPr>
        <w:t>。</w:t>
      </w:r>
    </w:p>
    <w:p>
      <w:pPr>
        <w:spacing w:line="56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2.请各候选服务商</w:t>
      </w:r>
      <w:r>
        <w:rPr>
          <w:rFonts w:hint="eastAsia" w:ascii="Times New Roman" w:hAnsi="Times New Roman" w:eastAsia="仿宋_GB2312" w:cs="Times New Roman"/>
          <w:sz w:val="32"/>
          <w:szCs w:val="32"/>
          <w:lang w:eastAsia="zh-CN"/>
        </w:rPr>
        <w:t>讲演</w:t>
      </w:r>
      <w:r>
        <w:rPr>
          <w:rFonts w:hint="eastAsia" w:ascii="Times New Roman" w:hAnsi="Times New Roman" w:eastAsia="仿宋_GB2312" w:cs="Times New Roman"/>
          <w:sz w:val="32"/>
          <w:szCs w:val="32"/>
        </w:rPr>
        <w:t>答辩人员提前</w:t>
      </w:r>
      <w:r>
        <w:rPr>
          <w:rFonts w:hint="eastAsia" w:ascii="Times New Roman" w:hAnsi="Times New Roman" w:eastAsia="仿宋_GB2312" w:cs="Times New Roman"/>
          <w:sz w:val="32"/>
          <w:szCs w:val="32"/>
          <w:lang w:val="en-US" w:eastAsia="zh-CN"/>
        </w:rPr>
        <w:t>15</w:t>
      </w:r>
      <w:r>
        <w:rPr>
          <w:rFonts w:hint="eastAsia" w:ascii="Times New Roman" w:hAnsi="Times New Roman" w:eastAsia="仿宋_GB2312" w:cs="Times New Roman"/>
          <w:sz w:val="32"/>
          <w:szCs w:val="32"/>
        </w:rPr>
        <w:t>分钟到场</w:t>
      </w:r>
      <w:r>
        <w:rPr>
          <w:rFonts w:hint="eastAsia" w:ascii="Times New Roman" w:hAnsi="Times New Roman" w:eastAsia="仿宋_GB2312" w:cs="Times New Roman"/>
          <w:sz w:val="32"/>
          <w:szCs w:val="32"/>
          <w:lang w:eastAsia="zh-CN"/>
        </w:rPr>
        <w:t>，并服从现场工作人员安排</w:t>
      </w:r>
      <w:r>
        <w:rPr>
          <w:rFonts w:hint="eastAsia" w:ascii="Times New Roman" w:hAnsi="Times New Roman" w:eastAsia="仿宋_GB2312" w:cs="Times New Roman"/>
          <w:sz w:val="32"/>
          <w:szCs w:val="32"/>
        </w:rPr>
        <w:t>。</w:t>
      </w:r>
    </w:p>
    <w:p>
      <w:pPr>
        <w:spacing w:line="560" w:lineRule="exact"/>
        <w:ind w:firstLine="640" w:firstLineChars="200"/>
        <w:jc w:val="left"/>
        <w:rPr>
          <w:rFonts w:ascii="Times New Roman" w:hAnsi="Times New Roman" w:eastAsia="仿宋_GB2312" w:cs="Times New Roman"/>
          <w:sz w:val="32"/>
          <w:szCs w:val="32"/>
        </w:rPr>
      </w:pPr>
    </w:p>
    <w:p>
      <w:pPr>
        <w:spacing w:line="60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附件：</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eastAsia="zh-CN"/>
        </w:rPr>
        <w:t>公开遴选具体时间安排；</w:t>
      </w:r>
    </w:p>
    <w:p>
      <w:pPr>
        <w:pStyle w:val="2"/>
        <w:rPr>
          <w:rFonts w:hint="default"/>
          <w:lang w:val="en-US" w:eastAsia="zh-CN"/>
        </w:rPr>
      </w:pPr>
      <w:r>
        <w:rPr>
          <w:rFonts w:hint="eastAsia" w:ascii="Times New Roman" w:hAnsi="Times New Roman" w:eastAsia="仿宋_GB2312" w:cs="Times New Roman"/>
          <w:sz w:val="32"/>
          <w:szCs w:val="32"/>
          <w:lang w:val="en-US" w:eastAsia="zh-CN"/>
        </w:rPr>
        <w:t xml:space="preserve">         2.候选服务商参加遴选顺序。</w:t>
      </w:r>
    </w:p>
    <w:p>
      <w:pPr>
        <w:spacing w:line="600" w:lineRule="exact"/>
        <w:rPr>
          <w:rFonts w:ascii="Times New Roman" w:hAnsi="Times New Roman" w:eastAsia="仿宋_GB2312" w:cs="Times New Roman"/>
          <w:spacing w:val="-23"/>
          <w:sz w:val="32"/>
          <w:szCs w:val="32"/>
        </w:rPr>
      </w:pPr>
    </w:p>
    <w:p>
      <w:pPr>
        <w:pStyle w:val="2"/>
      </w:pPr>
    </w:p>
    <w:p>
      <w:pPr>
        <w:spacing w:line="560" w:lineRule="exact"/>
        <w:ind w:firstLine="4480" w:firstLineChars="1400"/>
        <w:jc w:val="left"/>
        <w:rPr>
          <w:rFonts w:hint="eastAsia"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val="en-US" w:eastAsia="zh-CN"/>
        </w:rPr>
        <w:t>浙江日晟信息咨询有限公司</w:t>
      </w:r>
    </w:p>
    <w:p>
      <w:pPr>
        <w:spacing w:line="560" w:lineRule="exact"/>
        <w:ind w:firstLine="5120" w:firstLineChars="1600"/>
        <w:jc w:val="left"/>
        <w:rPr>
          <w:rFonts w:ascii="Times New Roman" w:hAnsi="Times New Roman" w:eastAsia="仿宋_GB2312" w:cs="Times New Roman"/>
          <w:sz w:val="32"/>
          <w:szCs w:val="32"/>
        </w:rPr>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cols w:space="0" w:num="1"/>
          <w:docGrid w:type="lines" w:linePitch="312" w:charSpace="0"/>
        </w:sectPr>
      </w:pPr>
      <w:r>
        <w:rPr>
          <w:rFonts w:hint="eastAsia" w:ascii="Times New Roman" w:hAnsi="Times New Roman" w:eastAsia="仿宋_GB2312" w:cs="Times New Roman"/>
          <w:sz w:val="32"/>
          <w:szCs w:val="32"/>
        </w:rPr>
        <w:t>202</w:t>
      </w: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23</w:t>
      </w:r>
      <w:r>
        <w:rPr>
          <w:rFonts w:hint="eastAsia" w:ascii="Times New Roman" w:hAnsi="Times New Roman" w:eastAsia="仿宋_GB2312" w:cs="Times New Roman"/>
          <w:sz w:val="32"/>
          <w:szCs w:val="32"/>
        </w:rPr>
        <w:t>日</w:t>
      </w:r>
    </w:p>
    <w:tbl>
      <w:tblPr>
        <w:tblStyle w:val="6"/>
        <w:tblW w:w="8844" w:type="dxa"/>
        <w:tblInd w:w="0" w:type="dxa"/>
        <w:tblLayout w:type="fixed"/>
        <w:tblCellMar>
          <w:top w:w="0" w:type="dxa"/>
          <w:left w:w="0" w:type="dxa"/>
          <w:bottom w:w="0" w:type="dxa"/>
          <w:right w:w="0" w:type="dxa"/>
        </w:tblCellMar>
      </w:tblPr>
      <w:tblGrid>
        <w:gridCol w:w="1404"/>
        <w:gridCol w:w="2175"/>
        <w:gridCol w:w="5265"/>
      </w:tblGrid>
      <w:tr>
        <w:tblPrEx>
          <w:tblCellMar>
            <w:top w:w="0" w:type="dxa"/>
            <w:left w:w="0" w:type="dxa"/>
            <w:bottom w:w="0" w:type="dxa"/>
            <w:right w:w="0" w:type="dxa"/>
          </w:tblCellMar>
        </w:tblPrEx>
        <w:trPr>
          <w:trHeight w:val="276" w:hRule="atLeast"/>
        </w:trPr>
        <w:tc>
          <w:tcPr>
            <w:tcW w:w="8844" w:type="dxa"/>
            <w:gridSpan w:val="3"/>
            <w:tcBorders>
              <w:top w:val="nil"/>
              <w:left w:val="nil"/>
              <w:bottom w:val="single" w:color="000000" w:sz="12" w:space="0"/>
              <w:right w:val="nil"/>
            </w:tcBorders>
            <w:shd w:val="clear" w:color="auto" w:fill="auto"/>
            <w:noWrap/>
            <w:tcMar>
              <w:top w:w="15" w:type="dxa"/>
              <w:left w:w="15" w:type="dxa"/>
              <w:right w:w="15" w:type="dxa"/>
            </w:tcMar>
            <w:vAlign w:val="center"/>
          </w:tcPr>
          <w:p>
            <w:pPr>
              <w:jc w:val="left"/>
              <w:rPr>
                <w:rFonts w:hint="default" w:ascii="黑体" w:hAnsi="黑体" w:eastAsia="黑体" w:cs="黑体"/>
                <w:color w:val="000000"/>
                <w:sz w:val="32"/>
                <w:szCs w:val="32"/>
                <w:lang w:val="en-US" w:eastAsia="zh-CN"/>
              </w:rPr>
            </w:pP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1</w:t>
            </w:r>
          </w:p>
          <w:p>
            <w:pPr>
              <w:jc w:val="center"/>
              <w:rPr>
                <w:rFonts w:ascii="宋体" w:hAnsi="宋体" w:eastAsia="宋体" w:cs="宋体"/>
                <w:color w:val="000000"/>
                <w:sz w:val="22"/>
                <w:szCs w:val="22"/>
              </w:rPr>
            </w:pPr>
            <w:r>
              <w:rPr>
                <w:rFonts w:hint="eastAsia" w:ascii="方正小标宋简体" w:hAnsi="方正小标宋简体" w:eastAsia="方正小标宋简体" w:cs="方正小标宋简体"/>
                <w:sz w:val="44"/>
                <w:szCs w:val="44"/>
                <w:lang w:eastAsia="zh-CN"/>
              </w:rPr>
              <w:t>公开遴选具体时间安排</w:t>
            </w:r>
          </w:p>
        </w:tc>
      </w:tr>
      <w:tr>
        <w:tblPrEx>
          <w:tblCellMar>
            <w:top w:w="0" w:type="dxa"/>
            <w:left w:w="0" w:type="dxa"/>
            <w:bottom w:w="0" w:type="dxa"/>
            <w:right w:w="0" w:type="dxa"/>
          </w:tblCellMar>
        </w:tblPrEx>
        <w:trPr>
          <w:trHeight w:val="1134" w:hRule="exact"/>
        </w:trPr>
        <w:tc>
          <w:tcPr>
            <w:tcW w:w="1404" w:type="dxa"/>
            <w:tcBorders>
              <w:top w:val="single" w:color="000000" w:sz="12" w:space="0"/>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00" w:lineRule="exact"/>
              <w:jc w:val="center"/>
              <w:textAlignment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序号</w:t>
            </w:r>
          </w:p>
        </w:tc>
        <w:tc>
          <w:tcPr>
            <w:tcW w:w="2175" w:type="dxa"/>
            <w:tcBorders>
              <w:top w:val="single" w:color="000000" w:sz="12"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00" w:lineRule="exact"/>
              <w:jc w:val="center"/>
              <w:textAlignment w:val="center"/>
              <w:rPr>
                <w:rFonts w:hint="eastAsia" w:ascii="黑体" w:hAnsi="黑体" w:eastAsia="黑体" w:cs="黑体"/>
                <w:color w:val="000000"/>
                <w:kern w:val="0"/>
                <w:sz w:val="24"/>
                <w:szCs w:val="24"/>
                <w:lang w:eastAsia="zh-CN"/>
              </w:rPr>
            </w:pPr>
            <w:r>
              <w:rPr>
                <w:rFonts w:hint="eastAsia" w:ascii="黑体" w:hAnsi="黑体" w:eastAsia="黑体" w:cs="黑体"/>
                <w:color w:val="000000"/>
                <w:kern w:val="0"/>
                <w:sz w:val="24"/>
                <w:szCs w:val="24"/>
                <w:lang w:eastAsia="zh-CN"/>
              </w:rPr>
              <w:t>行业</w:t>
            </w:r>
          </w:p>
        </w:tc>
        <w:tc>
          <w:tcPr>
            <w:tcW w:w="5265" w:type="dxa"/>
            <w:tcBorders>
              <w:top w:val="single" w:color="000000" w:sz="12" w:space="0"/>
              <w:left w:val="single" w:color="000000" w:sz="4" w:space="0"/>
              <w:bottom w:val="single" w:color="000000" w:sz="4" w:space="0"/>
              <w:right w:val="single" w:color="000000" w:sz="12" w:space="0"/>
            </w:tcBorders>
            <w:vAlign w:val="center"/>
          </w:tcPr>
          <w:p>
            <w:pPr>
              <w:widowControl/>
              <w:spacing w:line="400" w:lineRule="exact"/>
              <w:jc w:val="center"/>
              <w:textAlignment w:val="center"/>
              <w:rPr>
                <w:rFonts w:hint="eastAsia" w:ascii="黑体" w:hAnsi="黑体" w:eastAsia="黑体" w:cs="黑体"/>
                <w:color w:val="000000"/>
                <w:kern w:val="0"/>
                <w:sz w:val="24"/>
                <w:szCs w:val="24"/>
                <w:lang w:eastAsia="zh-CN"/>
              </w:rPr>
            </w:pPr>
            <w:r>
              <w:rPr>
                <w:rFonts w:hint="eastAsia" w:ascii="黑体" w:hAnsi="黑体" w:eastAsia="黑体" w:cs="黑体"/>
                <w:color w:val="000000"/>
                <w:kern w:val="0"/>
                <w:sz w:val="24"/>
                <w:szCs w:val="24"/>
                <w:lang w:eastAsia="zh-CN"/>
              </w:rPr>
              <w:t>时间</w:t>
            </w:r>
          </w:p>
        </w:tc>
      </w:tr>
      <w:tr>
        <w:tblPrEx>
          <w:tblCellMar>
            <w:top w:w="0" w:type="dxa"/>
            <w:left w:w="0" w:type="dxa"/>
            <w:bottom w:w="0" w:type="dxa"/>
            <w:right w:w="0" w:type="dxa"/>
          </w:tblCellMar>
        </w:tblPrEx>
        <w:trPr>
          <w:trHeight w:val="1134" w:hRule="exact"/>
        </w:trPr>
        <w:tc>
          <w:tcPr>
            <w:tcW w:w="1404" w:type="dxa"/>
            <w:tcBorders>
              <w:top w:val="single" w:color="000000" w:sz="4" w:space="0"/>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00" w:lineRule="exact"/>
              <w:jc w:val="center"/>
              <w:textAlignment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w:t>
            </w:r>
          </w:p>
        </w:tc>
        <w:tc>
          <w:tcPr>
            <w:tcW w:w="2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00" w:lineRule="exact"/>
              <w:jc w:val="center"/>
              <w:textAlignment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餐厨用品</w:t>
            </w:r>
          </w:p>
        </w:tc>
        <w:tc>
          <w:tcPr>
            <w:tcW w:w="5265" w:type="dxa"/>
            <w:tcBorders>
              <w:top w:val="single" w:color="000000" w:sz="4" w:space="0"/>
              <w:left w:val="single" w:color="000000" w:sz="4" w:space="0"/>
              <w:bottom w:val="single" w:color="000000" w:sz="4" w:space="0"/>
              <w:right w:val="single" w:color="000000" w:sz="12" w:space="0"/>
            </w:tcBorders>
            <w:vAlign w:val="center"/>
          </w:tcPr>
          <w:p>
            <w:pPr>
              <w:widowControl/>
              <w:spacing w:line="400" w:lineRule="exact"/>
              <w:jc w:val="center"/>
              <w:textAlignment w:val="center"/>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2024年5月27日08:30-12:30</w:t>
            </w:r>
          </w:p>
        </w:tc>
      </w:tr>
      <w:tr>
        <w:tblPrEx>
          <w:tblCellMar>
            <w:top w:w="0" w:type="dxa"/>
            <w:left w:w="0" w:type="dxa"/>
            <w:bottom w:w="0" w:type="dxa"/>
            <w:right w:w="0" w:type="dxa"/>
          </w:tblCellMar>
        </w:tblPrEx>
        <w:trPr>
          <w:trHeight w:val="1134" w:hRule="exact"/>
        </w:trPr>
        <w:tc>
          <w:tcPr>
            <w:tcW w:w="1404" w:type="dxa"/>
            <w:tcBorders>
              <w:top w:val="single" w:color="000000" w:sz="4" w:space="0"/>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00" w:lineRule="exact"/>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2</w:t>
            </w:r>
          </w:p>
        </w:tc>
        <w:tc>
          <w:tcPr>
            <w:tcW w:w="2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00" w:lineRule="exact"/>
              <w:jc w:val="center"/>
              <w:textAlignment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电动工具</w:t>
            </w:r>
          </w:p>
        </w:tc>
        <w:tc>
          <w:tcPr>
            <w:tcW w:w="5265" w:type="dxa"/>
            <w:tcBorders>
              <w:top w:val="single" w:color="000000" w:sz="4" w:space="0"/>
              <w:left w:val="single" w:color="000000" w:sz="4" w:space="0"/>
              <w:bottom w:val="single" w:color="000000" w:sz="4" w:space="0"/>
              <w:right w:val="single" w:color="000000" w:sz="12" w:space="0"/>
            </w:tcBorders>
            <w:vAlign w:val="center"/>
          </w:tcPr>
          <w:p>
            <w:pPr>
              <w:widowControl/>
              <w:spacing w:line="400" w:lineRule="exact"/>
              <w:jc w:val="center"/>
              <w:textAlignment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2024年5月27日13:00-18:00</w:t>
            </w:r>
          </w:p>
        </w:tc>
      </w:tr>
      <w:tr>
        <w:tblPrEx>
          <w:tblCellMar>
            <w:top w:w="0" w:type="dxa"/>
            <w:left w:w="0" w:type="dxa"/>
            <w:bottom w:w="0" w:type="dxa"/>
            <w:right w:w="0" w:type="dxa"/>
          </w:tblCellMar>
        </w:tblPrEx>
        <w:trPr>
          <w:trHeight w:val="1134" w:hRule="exact"/>
        </w:trPr>
        <w:tc>
          <w:tcPr>
            <w:tcW w:w="1404" w:type="dxa"/>
            <w:tcBorders>
              <w:top w:val="single" w:color="000000" w:sz="4" w:space="0"/>
              <w:left w:val="single" w:color="000000" w:sz="12" w:space="0"/>
              <w:bottom w:val="single" w:color="000000" w:sz="12" w:space="0"/>
              <w:right w:val="single" w:color="000000" w:sz="4" w:space="0"/>
            </w:tcBorders>
            <w:shd w:val="clear" w:color="auto" w:fill="auto"/>
            <w:tcMar>
              <w:top w:w="15" w:type="dxa"/>
              <w:left w:w="15" w:type="dxa"/>
              <w:right w:w="15" w:type="dxa"/>
            </w:tcMar>
            <w:vAlign w:val="center"/>
          </w:tcPr>
          <w:p>
            <w:pPr>
              <w:widowControl/>
              <w:spacing w:line="400" w:lineRule="exact"/>
              <w:jc w:val="center"/>
              <w:textAlignment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val="en-US" w:eastAsia="zh-CN"/>
              </w:rPr>
              <w:t>3</w:t>
            </w:r>
          </w:p>
        </w:tc>
        <w:tc>
          <w:tcPr>
            <w:tcW w:w="2175" w:type="dxa"/>
            <w:tcBorders>
              <w:top w:val="single" w:color="000000" w:sz="4" w:space="0"/>
              <w:left w:val="single" w:color="000000" w:sz="4" w:space="0"/>
              <w:bottom w:val="single" w:color="000000" w:sz="12" w:space="0"/>
              <w:right w:val="single" w:color="000000" w:sz="4" w:space="0"/>
            </w:tcBorders>
            <w:shd w:val="clear" w:color="auto" w:fill="auto"/>
            <w:tcMar>
              <w:top w:w="15" w:type="dxa"/>
              <w:left w:w="15" w:type="dxa"/>
              <w:right w:w="15" w:type="dxa"/>
            </w:tcMar>
            <w:vAlign w:val="center"/>
          </w:tcPr>
          <w:p>
            <w:pPr>
              <w:widowControl/>
              <w:spacing w:line="400" w:lineRule="exact"/>
              <w:jc w:val="center"/>
              <w:textAlignment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五金加工</w:t>
            </w:r>
          </w:p>
        </w:tc>
        <w:tc>
          <w:tcPr>
            <w:tcW w:w="5265" w:type="dxa"/>
            <w:tcBorders>
              <w:top w:val="single" w:color="000000" w:sz="4" w:space="0"/>
              <w:left w:val="single" w:color="000000" w:sz="4" w:space="0"/>
              <w:bottom w:val="single" w:color="000000" w:sz="12" w:space="0"/>
              <w:right w:val="single" w:color="000000" w:sz="12" w:space="0"/>
            </w:tcBorders>
            <w:vAlign w:val="center"/>
          </w:tcPr>
          <w:p>
            <w:pPr>
              <w:widowControl/>
              <w:spacing w:line="400" w:lineRule="exact"/>
              <w:jc w:val="center"/>
              <w:textAlignment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2024年5月27日18:30-23:30</w:t>
            </w:r>
          </w:p>
        </w:tc>
      </w:tr>
    </w:tbl>
    <w:p>
      <w:pPr>
        <w:spacing w:line="520" w:lineRule="exact"/>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jc w:val="left"/>
        <w:rPr>
          <w:rFonts w:hint="default" w:ascii="黑体" w:hAnsi="黑体" w:eastAsia="黑体" w:cs="黑体"/>
          <w:color w:val="000000"/>
          <w:sz w:val="32"/>
          <w:szCs w:val="32"/>
          <w:lang w:val="en-US" w:eastAsia="zh-CN"/>
        </w:rPr>
      </w:pP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2</w:t>
      </w:r>
    </w:p>
    <w:p>
      <w:pPr>
        <w:pStyle w:val="2"/>
        <w:jc w:val="center"/>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候选服务商参加遴选顺序（1）</w:t>
      </w:r>
    </w:p>
    <w:tbl>
      <w:tblPr>
        <w:tblStyle w:val="6"/>
        <w:tblW w:w="8850" w:type="dxa"/>
        <w:tblInd w:w="87"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395"/>
        <w:gridCol w:w="2175"/>
        <w:gridCol w:w="5280"/>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40" w:hRule="atLeast"/>
        </w:trPr>
        <w:tc>
          <w:tcPr>
            <w:tcW w:w="1395" w:type="dxa"/>
            <w:tcBorders>
              <w:tl2br w:val="nil"/>
              <w:tr2bl w:val="nil"/>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21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行业</w:t>
            </w:r>
          </w:p>
        </w:tc>
        <w:tc>
          <w:tcPr>
            <w:tcW w:w="52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服务商名称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139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21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餐厨用品</w:t>
            </w:r>
          </w:p>
        </w:tc>
        <w:tc>
          <w:tcPr>
            <w:tcW w:w="52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数字金华技术运营有限公司</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139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21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餐厨用品</w:t>
            </w:r>
          </w:p>
        </w:tc>
        <w:tc>
          <w:tcPr>
            <w:tcW w:w="52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浙江伏特宝科技有限公司</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139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21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餐厨用品</w:t>
            </w:r>
          </w:p>
        </w:tc>
        <w:tc>
          <w:tcPr>
            <w:tcW w:w="52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金华高格软件有限公司</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139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21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餐厨用品</w:t>
            </w:r>
          </w:p>
        </w:tc>
        <w:tc>
          <w:tcPr>
            <w:tcW w:w="52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浙江索控科技有限公司</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139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21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餐厨用品</w:t>
            </w:r>
          </w:p>
        </w:tc>
        <w:tc>
          <w:tcPr>
            <w:tcW w:w="52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永康市杰地希机器人科技有限公司</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139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21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餐厨用品</w:t>
            </w:r>
          </w:p>
        </w:tc>
        <w:tc>
          <w:tcPr>
            <w:tcW w:w="52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金华济胜软件有限公司</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139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21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餐厨用品</w:t>
            </w:r>
          </w:p>
        </w:tc>
        <w:tc>
          <w:tcPr>
            <w:tcW w:w="52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中国移动通信集团浙江有限公司金华分公司</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139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21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餐厨用品</w:t>
            </w:r>
          </w:p>
        </w:tc>
        <w:tc>
          <w:tcPr>
            <w:tcW w:w="52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杭州讯酷科技有限公司</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139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21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餐厨用品</w:t>
            </w:r>
          </w:p>
        </w:tc>
        <w:tc>
          <w:tcPr>
            <w:tcW w:w="52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中国电信股份有限公司浙江分公司</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139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21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餐厨用品</w:t>
            </w:r>
          </w:p>
        </w:tc>
        <w:tc>
          <w:tcPr>
            <w:tcW w:w="52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浙江蘑菇云数据科技有限公司</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139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w:t>
            </w:r>
          </w:p>
        </w:tc>
        <w:tc>
          <w:tcPr>
            <w:tcW w:w="21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餐厨用品</w:t>
            </w:r>
          </w:p>
        </w:tc>
        <w:tc>
          <w:tcPr>
            <w:tcW w:w="52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杭州知略科技有限公司</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139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w:t>
            </w:r>
          </w:p>
        </w:tc>
        <w:tc>
          <w:tcPr>
            <w:tcW w:w="21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餐厨用品</w:t>
            </w:r>
          </w:p>
        </w:tc>
        <w:tc>
          <w:tcPr>
            <w:tcW w:w="52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蒲惠智造科技股份有限公司</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139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w:t>
            </w:r>
          </w:p>
        </w:tc>
        <w:tc>
          <w:tcPr>
            <w:tcW w:w="21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餐厨用品</w:t>
            </w:r>
          </w:p>
        </w:tc>
        <w:tc>
          <w:tcPr>
            <w:tcW w:w="52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浙江新凯迪数字科技股份有限公司</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139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w:t>
            </w:r>
          </w:p>
        </w:tc>
        <w:tc>
          <w:tcPr>
            <w:tcW w:w="21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餐厨用品</w:t>
            </w:r>
          </w:p>
        </w:tc>
        <w:tc>
          <w:tcPr>
            <w:tcW w:w="52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金华众力软件有限公司</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139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w:t>
            </w:r>
          </w:p>
        </w:tc>
        <w:tc>
          <w:tcPr>
            <w:tcW w:w="21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餐厨用品</w:t>
            </w:r>
          </w:p>
        </w:tc>
        <w:tc>
          <w:tcPr>
            <w:tcW w:w="52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浙江佳隆科技有限公司</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139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w:t>
            </w:r>
          </w:p>
        </w:tc>
        <w:tc>
          <w:tcPr>
            <w:tcW w:w="21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餐厨用品</w:t>
            </w:r>
          </w:p>
        </w:tc>
        <w:tc>
          <w:tcPr>
            <w:tcW w:w="52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杭州物源科技有限公司</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139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w:t>
            </w:r>
          </w:p>
        </w:tc>
        <w:tc>
          <w:tcPr>
            <w:tcW w:w="21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餐厨用品</w:t>
            </w:r>
          </w:p>
        </w:tc>
        <w:tc>
          <w:tcPr>
            <w:tcW w:w="52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杭州钛联科技有限公司</w:t>
            </w:r>
          </w:p>
        </w:tc>
      </w:tr>
    </w:tbl>
    <w:p>
      <w:pPr>
        <w:pStyle w:val="2"/>
        <w:jc w:val="both"/>
        <w:rPr>
          <w:rFonts w:hint="eastAsia" w:ascii="方正小标宋简体" w:hAnsi="方正小标宋简体" w:eastAsia="方正小标宋简体" w:cs="方正小标宋简体"/>
          <w:kern w:val="2"/>
          <w:sz w:val="44"/>
          <w:szCs w:val="44"/>
          <w:lang w:val="en-US" w:eastAsia="zh-CN" w:bidi="ar-SA"/>
        </w:rPr>
      </w:pPr>
    </w:p>
    <w:p>
      <w:pPr>
        <w:pStyle w:val="2"/>
        <w:jc w:val="both"/>
        <w:rPr>
          <w:rFonts w:hint="eastAsia" w:ascii="方正小标宋简体" w:hAnsi="方正小标宋简体" w:eastAsia="方正小标宋简体" w:cs="方正小标宋简体"/>
          <w:kern w:val="2"/>
          <w:sz w:val="44"/>
          <w:szCs w:val="44"/>
          <w:lang w:val="en-US" w:eastAsia="zh-CN" w:bidi="ar-SA"/>
        </w:rPr>
      </w:pPr>
    </w:p>
    <w:p>
      <w:pPr>
        <w:pStyle w:val="2"/>
        <w:jc w:val="both"/>
        <w:rPr>
          <w:rFonts w:hint="eastAsia" w:ascii="方正小标宋简体" w:hAnsi="方正小标宋简体" w:eastAsia="方正小标宋简体" w:cs="方正小标宋简体"/>
          <w:kern w:val="2"/>
          <w:sz w:val="44"/>
          <w:szCs w:val="44"/>
          <w:lang w:val="en-US" w:eastAsia="zh-CN" w:bidi="ar-SA"/>
        </w:rPr>
      </w:pPr>
    </w:p>
    <w:p>
      <w:pPr>
        <w:pStyle w:val="2"/>
        <w:jc w:val="center"/>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候选服务商参加遴选顺序（2）</w:t>
      </w:r>
    </w:p>
    <w:tbl>
      <w:tblPr>
        <w:tblStyle w:val="6"/>
        <w:tblW w:w="8844" w:type="dxa"/>
        <w:tblInd w:w="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374"/>
        <w:gridCol w:w="2190"/>
        <w:gridCol w:w="5280"/>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40" w:hRule="atLeast"/>
        </w:trPr>
        <w:tc>
          <w:tcPr>
            <w:tcW w:w="13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序号</w:t>
            </w:r>
          </w:p>
        </w:tc>
        <w:tc>
          <w:tcPr>
            <w:tcW w:w="2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行业</w:t>
            </w:r>
          </w:p>
        </w:tc>
        <w:tc>
          <w:tcPr>
            <w:tcW w:w="52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服务商名称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13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2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电动工具</w:t>
            </w:r>
          </w:p>
        </w:tc>
        <w:tc>
          <w:tcPr>
            <w:tcW w:w="52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中国电信股份有限公司浙江分公司</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13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2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电动工具</w:t>
            </w:r>
          </w:p>
        </w:tc>
        <w:tc>
          <w:tcPr>
            <w:tcW w:w="52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浙江新凯迪数字科技股份有限公司</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13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2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电动工具</w:t>
            </w:r>
          </w:p>
        </w:tc>
        <w:tc>
          <w:tcPr>
            <w:tcW w:w="52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浙江伏特宝科技有限公司</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13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2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电动工具</w:t>
            </w:r>
          </w:p>
        </w:tc>
        <w:tc>
          <w:tcPr>
            <w:tcW w:w="52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浙江索控科技有限公司</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13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2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电动工具</w:t>
            </w:r>
          </w:p>
        </w:tc>
        <w:tc>
          <w:tcPr>
            <w:tcW w:w="52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永康市杰地希机器人科技有限公司</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13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2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电动工具</w:t>
            </w:r>
          </w:p>
        </w:tc>
        <w:tc>
          <w:tcPr>
            <w:tcW w:w="52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金华济胜软件有限公司</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13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2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电动工具</w:t>
            </w:r>
          </w:p>
        </w:tc>
        <w:tc>
          <w:tcPr>
            <w:tcW w:w="52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中国移动通信集团浙江有限公司金华分公司</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13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2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电动工具</w:t>
            </w:r>
          </w:p>
        </w:tc>
        <w:tc>
          <w:tcPr>
            <w:tcW w:w="52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杭州讯酷科技有限公司</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13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2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电动工具</w:t>
            </w:r>
          </w:p>
        </w:tc>
        <w:tc>
          <w:tcPr>
            <w:tcW w:w="52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金华高格软件有限公司</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1374"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2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电动工具</w:t>
            </w:r>
          </w:p>
        </w:tc>
        <w:tc>
          <w:tcPr>
            <w:tcW w:w="52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数字金华技术运营有限公司</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13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11</w:t>
            </w:r>
          </w:p>
        </w:tc>
        <w:tc>
          <w:tcPr>
            <w:tcW w:w="2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电动工具</w:t>
            </w:r>
          </w:p>
        </w:tc>
        <w:tc>
          <w:tcPr>
            <w:tcW w:w="52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浙江蘑菇云数据科技有限公司</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13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12</w:t>
            </w:r>
          </w:p>
        </w:tc>
        <w:tc>
          <w:tcPr>
            <w:tcW w:w="2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电动工具</w:t>
            </w:r>
          </w:p>
        </w:tc>
        <w:tc>
          <w:tcPr>
            <w:tcW w:w="52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杭州知略科技有限公司</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13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w:t>
            </w:r>
          </w:p>
        </w:tc>
        <w:tc>
          <w:tcPr>
            <w:tcW w:w="2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电动工具</w:t>
            </w:r>
          </w:p>
        </w:tc>
        <w:tc>
          <w:tcPr>
            <w:tcW w:w="52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蒲惠智造科技股份有限公司</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1374"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14</w:t>
            </w:r>
          </w:p>
        </w:tc>
        <w:tc>
          <w:tcPr>
            <w:tcW w:w="2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电动工具</w:t>
            </w:r>
          </w:p>
        </w:tc>
        <w:tc>
          <w:tcPr>
            <w:tcW w:w="52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武义智能制造产业技术研究院</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13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15</w:t>
            </w:r>
          </w:p>
        </w:tc>
        <w:tc>
          <w:tcPr>
            <w:tcW w:w="2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电动工具</w:t>
            </w:r>
          </w:p>
        </w:tc>
        <w:tc>
          <w:tcPr>
            <w:tcW w:w="52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金华众力软件有限公司</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13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16</w:t>
            </w:r>
          </w:p>
        </w:tc>
        <w:tc>
          <w:tcPr>
            <w:tcW w:w="2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电动工具</w:t>
            </w:r>
          </w:p>
        </w:tc>
        <w:tc>
          <w:tcPr>
            <w:tcW w:w="52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浙江佳隆科技有限公司</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13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17</w:t>
            </w:r>
          </w:p>
        </w:tc>
        <w:tc>
          <w:tcPr>
            <w:tcW w:w="2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电动工具</w:t>
            </w:r>
          </w:p>
        </w:tc>
        <w:tc>
          <w:tcPr>
            <w:tcW w:w="52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摩尔元数（杭州）信息科技有限公司</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13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18</w:t>
            </w:r>
          </w:p>
        </w:tc>
        <w:tc>
          <w:tcPr>
            <w:tcW w:w="2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电动工具</w:t>
            </w:r>
          </w:p>
        </w:tc>
        <w:tc>
          <w:tcPr>
            <w:tcW w:w="52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联通（浙江）产业互联网有限公司</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13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19</w:t>
            </w:r>
          </w:p>
        </w:tc>
        <w:tc>
          <w:tcPr>
            <w:tcW w:w="2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电动工具</w:t>
            </w:r>
          </w:p>
        </w:tc>
        <w:tc>
          <w:tcPr>
            <w:tcW w:w="52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金华智领科技有限公司</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1374"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20</w:t>
            </w:r>
          </w:p>
        </w:tc>
        <w:tc>
          <w:tcPr>
            <w:tcW w:w="2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电动工具</w:t>
            </w:r>
          </w:p>
        </w:tc>
        <w:tc>
          <w:tcPr>
            <w:tcW w:w="52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浙江国坤智能科技有限公司</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13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21</w:t>
            </w:r>
          </w:p>
        </w:tc>
        <w:tc>
          <w:tcPr>
            <w:tcW w:w="2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电动工具</w:t>
            </w:r>
          </w:p>
        </w:tc>
        <w:tc>
          <w:tcPr>
            <w:tcW w:w="52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鼎捷软件股份有限公司</w:t>
            </w:r>
          </w:p>
        </w:tc>
      </w:tr>
    </w:tbl>
    <w:p>
      <w:pPr>
        <w:pStyle w:val="2"/>
        <w:jc w:val="both"/>
        <w:rPr>
          <w:rFonts w:hint="eastAsia" w:ascii="方正小标宋简体" w:hAnsi="方正小标宋简体" w:eastAsia="方正小标宋简体" w:cs="方正小标宋简体"/>
          <w:kern w:val="2"/>
          <w:sz w:val="44"/>
          <w:szCs w:val="44"/>
          <w:lang w:val="en-US" w:eastAsia="zh-CN" w:bidi="ar-SA"/>
        </w:rPr>
      </w:pPr>
    </w:p>
    <w:p>
      <w:pPr>
        <w:pStyle w:val="2"/>
        <w:jc w:val="both"/>
        <w:rPr>
          <w:rFonts w:hint="eastAsia" w:ascii="方正小标宋简体" w:hAnsi="方正小标宋简体" w:eastAsia="方正小标宋简体" w:cs="方正小标宋简体"/>
          <w:kern w:val="2"/>
          <w:sz w:val="44"/>
          <w:szCs w:val="44"/>
          <w:lang w:val="en-US" w:eastAsia="zh-CN" w:bidi="ar-SA"/>
        </w:rPr>
      </w:pPr>
    </w:p>
    <w:p>
      <w:pPr>
        <w:pStyle w:val="2"/>
        <w:jc w:val="center"/>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候选服务商参加遴选顺序（3）</w:t>
      </w:r>
    </w:p>
    <w:tbl>
      <w:tblPr>
        <w:tblStyle w:val="6"/>
        <w:tblW w:w="8829" w:type="dxa"/>
        <w:tblInd w:w="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389"/>
        <w:gridCol w:w="2190"/>
        <w:gridCol w:w="5250"/>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40" w:hRule="atLeast"/>
        </w:trPr>
        <w:tc>
          <w:tcPr>
            <w:tcW w:w="1389" w:type="dxa"/>
            <w:tcBorders>
              <w:tl2br w:val="nil"/>
              <w:tr2bl w:val="nil"/>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2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行业</w:t>
            </w:r>
          </w:p>
        </w:tc>
        <w:tc>
          <w:tcPr>
            <w:tcW w:w="52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服务商名称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138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2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五金加工</w:t>
            </w:r>
          </w:p>
        </w:tc>
        <w:tc>
          <w:tcPr>
            <w:tcW w:w="52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蓝卓数字科技有限公司</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138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2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五金加工</w:t>
            </w:r>
          </w:p>
        </w:tc>
        <w:tc>
          <w:tcPr>
            <w:tcW w:w="52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中国移动通信集团浙江有限公司金华分公司</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138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2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五金加工</w:t>
            </w:r>
          </w:p>
        </w:tc>
        <w:tc>
          <w:tcPr>
            <w:tcW w:w="52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浙江新凯迪数字科技股份有限公司</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138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2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五金加工</w:t>
            </w:r>
          </w:p>
        </w:tc>
        <w:tc>
          <w:tcPr>
            <w:tcW w:w="52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金华众力软件有限公司</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138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2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五金加工</w:t>
            </w:r>
          </w:p>
        </w:tc>
        <w:tc>
          <w:tcPr>
            <w:tcW w:w="52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浙江伏特宝科技有限公司</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138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2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五金加工</w:t>
            </w:r>
          </w:p>
        </w:tc>
        <w:tc>
          <w:tcPr>
            <w:tcW w:w="52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浙江索控科技有限公司</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138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2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五金加工</w:t>
            </w:r>
          </w:p>
        </w:tc>
        <w:tc>
          <w:tcPr>
            <w:tcW w:w="52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永康市杰地希机器人科技有限公司</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138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2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五金加工</w:t>
            </w:r>
          </w:p>
        </w:tc>
        <w:tc>
          <w:tcPr>
            <w:tcW w:w="52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金华济胜软件有限公司</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138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2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五金加工</w:t>
            </w:r>
          </w:p>
        </w:tc>
        <w:tc>
          <w:tcPr>
            <w:tcW w:w="52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金华高格软件有限公司</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1389"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2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五金加工</w:t>
            </w:r>
          </w:p>
        </w:tc>
        <w:tc>
          <w:tcPr>
            <w:tcW w:w="52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杭州讯酷科技有限公司</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1389"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11</w:t>
            </w:r>
          </w:p>
        </w:tc>
        <w:tc>
          <w:tcPr>
            <w:tcW w:w="2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五金加工</w:t>
            </w:r>
          </w:p>
        </w:tc>
        <w:tc>
          <w:tcPr>
            <w:tcW w:w="52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中国电信股份有限公司浙江分公司</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138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12</w:t>
            </w:r>
          </w:p>
        </w:tc>
        <w:tc>
          <w:tcPr>
            <w:tcW w:w="2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五金加工</w:t>
            </w:r>
          </w:p>
        </w:tc>
        <w:tc>
          <w:tcPr>
            <w:tcW w:w="52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浙江蘑菇云数据科技有限公司</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138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w:t>
            </w:r>
          </w:p>
        </w:tc>
        <w:tc>
          <w:tcPr>
            <w:tcW w:w="2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五金加工</w:t>
            </w:r>
          </w:p>
        </w:tc>
        <w:tc>
          <w:tcPr>
            <w:tcW w:w="52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杭州知略科技有限公司</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138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14</w:t>
            </w:r>
          </w:p>
        </w:tc>
        <w:tc>
          <w:tcPr>
            <w:tcW w:w="2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五金加工</w:t>
            </w:r>
          </w:p>
        </w:tc>
        <w:tc>
          <w:tcPr>
            <w:tcW w:w="52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蒲惠智造科技股份有限公司</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138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15</w:t>
            </w:r>
          </w:p>
        </w:tc>
        <w:tc>
          <w:tcPr>
            <w:tcW w:w="2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五金加工</w:t>
            </w:r>
          </w:p>
        </w:tc>
        <w:tc>
          <w:tcPr>
            <w:tcW w:w="52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浙江佳隆科技有限公司</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138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16</w:t>
            </w:r>
          </w:p>
        </w:tc>
        <w:tc>
          <w:tcPr>
            <w:tcW w:w="2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五金加工</w:t>
            </w:r>
          </w:p>
        </w:tc>
        <w:tc>
          <w:tcPr>
            <w:tcW w:w="52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杭州物源科技有限公司</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138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17</w:t>
            </w:r>
          </w:p>
        </w:tc>
        <w:tc>
          <w:tcPr>
            <w:tcW w:w="2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五金加工</w:t>
            </w:r>
          </w:p>
        </w:tc>
        <w:tc>
          <w:tcPr>
            <w:tcW w:w="52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摩尔元数（杭州）信息科技有限公司</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138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18</w:t>
            </w:r>
          </w:p>
        </w:tc>
        <w:tc>
          <w:tcPr>
            <w:tcW w:w="2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五金加工</w:t>
            </w:r>
          </w:p>
        </w:tc>
        <w:tc>
          <w:tcPr>
            <w:tcW w:w="52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联通（浙江）产业互联网有限公司</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138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19</w:t>
            </w:r>
          </w:p>
        </w:tc>
        <w:tc>
          <w:tcPr>
            <w:tcW w:w="2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五金加工</w:t>
            </w:r>
          </w:p>
        </w:tc>
        <w:tc>
          <w:tcPr>
            <w:tcW w:w="52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金华智领科技有限公司</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138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20</w:t>
            </w:r>
          </w:p>
        </w:tc>
        <w:tc>
          <w:tcPr>
            <w:tcW w:w="2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五金加工</w:t>
            </w:r>
          </w:p>
        </w:tc>
        <w:tc>
          <w:tcPr>
            <w:tcW w:w="52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浙江国坤智能科技有限公司</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138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21</w:t>
            </w:r>
          </w:p>
        </w:tc>
        <w:tc>
          <w:tcPr>
            <w:tcW w:w="2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五金加工</w:t>
            </w:r>
          </w:p>
        </w:tc>
        <w:tc>
          <w:tcPr>
            <w:tcW w:w="52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杭州钛联科技有限公司</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138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22</w:t>
            </w:r>
          </w:p>
        </w:tc>
        <w:tc>
          <w:tcPr>
            <w:tcW w:w="2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五金加工</w:t>
            </w:r>
          </w:p>
        </w:tc>
        <w:tc>
          <w:tcPr>
            <w:tcW w:w="52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金华金盛软件有限公司</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1389"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23</w:t>
            </w:r>
          </w:p>
        </w:tc>
        <w:tc>
          <w:tcPr>
            <w:tcW w:w="2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五金加工</w:t>
            </w:r>
          </w:p>
        </w:tc>
        <w:tc>
          <w:tcPr>
            <w:tcW w:w="52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数字金华技术运营有限公司</w:t>
            </w:r>
          </w:p>
        </w:tc>
      </w:tr>
    </w:tbl>
    <w:p>
      <w:pPr>
        <w:pStyle w:val="2"/>
        <w:jc w:val="both"/>
        <w:rPr>
          <w:rFonts w:hint="eastAsia" w:ascii="方正小标宋简体" w:hAnsi="方正小标宋简体" w:eastAsia="方正小标宋简体" w:cs="方正小标宋简体"/>
          <w:kern w:val="2"/>
          <w:sz w:val="44"/>
          <w:szCs w:val="44"/>
          <w:lang w:val="en-US" w:eastAsia="zh-CN" w:bidi="ar-SA"/>
        </w:rPr>
      </w:pPr>
    </w:p>
    <w:sectPr>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xYTU5N2ZlMjY2Mzc2MTFjYzU2YjJjNGQ4OGM4YjcifQ=="/>
  </w:docVars>
  <w:rsids>
    <w:rsidRoot w:val="614A43FA"/>
    <w:rsid w:val="0002171A"/>
    <w:rsid w:val="002A27C7"/>
    <w:rsid w:val="002E4D50"/>
    <w:rsid w:val="00341982"/>
    <w:rsid w:val="00352957"/>
    <w:rsid w:val="00365939"/>
    <w:rsid w:val="00421C55"/>
    <w:rsid w:val="00446649"/>
    <w:rsid w:val="0046548F"/>
    <w:rsid w:val="00606261"/>
    <w:rsid w:val="007C34C3"/>
    <w:rsid w:val="00871998"/>
    <w:rsid w:val="009C24B7"/>
    <w:rsid w:val="00C628DB"/>
    <w:rsid w:val="00CB192A"/>
    <w:rsid w:val="00F809FA"/>
    <w:rsid w:val="02063A3D"/>
    <w:rsid w:val="08B46187"/>
    <w:rsid w:val="098D423D"/>
    <w:rsid w:val="0CFD3DD0"/>
    <w:rsid w:val="0DA27AF9"/>
    <w:rsid w:val="0E8B3C6C"/>
    <w:rsid w:val="0F640839"/>
    <w:rsid w:val="0FDF6E5C"/>
    <w:rsid w:val="13FA1924"/>
    <w:rsid w:val="14732A71"/>
    <w:rsid w:val="17846138"/>
    <w:rsid w:val="1C1D316C"/>
    <w:rsid w:val="20624BE5"/>
    <w:rsid w:val="2CFA7802"/>
    <w:rsid w:val="31196134"/>
    <w:rsid w:val="33C057E4"/>
    <w:rsid w:val="38B52D4B"/>
    <w:rsid w:val="3DCD291E"/>
    <w:rsid w:val="43942F15"/>
    <w:rsid w:val="46411E9C"/>
    <w:rsid w:val="4937422D"/>
    <w:rsid w:val="4BF278C5"/>
    <w:rsid w:val="4CB30183"/>
    <w:rsid w:val="51CD1DE4"/>
    <w:rsid w:val="54C61FC6"/>
    <w:rsid w:val="59A608B3"/>
    <w:rsid w:val="59B461B6"/>
    <w:rsid w:val="5AB919DD"/>
    <w:rsid w:val="5F2C7BB6"/>
    <w:rsid w:val="614A43FA"/>
    <w:rsid w:val="619A22C6"/>
    <w:rsid w:val="62B80AC5"/>
    <w:rsid w:val="634F664F"/>
    <w:rsid w:val="65882DCF"/>
    <w:rsid w:val="66CA3A4C"/>
    <w:rsid w:val="6A1A2D59"/>
    <w:rsid w:val="6AB00063"/>
    <w:rsid w:val="6C172837"/>
    <w:rsid w:val="6EFB6F35"/>
    <w:rsid w:val="6F88499B"/>
    <w:rsid w:val="752604E9"/>
    <w:rsid w:val="788C6764"/>
    <w:rsid w:val="79300928"/>
    <w:rsid w:val="7BCB76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ind w:left="120"/>
    </w:pPr>
    <w:rPr>
      <w:sz w:val="32"/>
      <w:szCs w:val="32"/>
    </w:rPr>
  </w:style>
  <w:style w:type="paragraph" w:styleId="3">
    <w:name w:val="Document Map"/>
    <w:basedOn w:val="1"/>
    <w:link w:val="11"/>
    <w:autoRedefine/>
    <w:qFormat/>
    <w:uiPriority w:val="0"/>
    <w:rPr>
      <w:rFonts w:ascii="宋体" w:eastAsia="宋体"/>
      <w:sz w:val="18"/>
      <w:szCs w:val="18"/>
    </w:rPr>
  </w:style>
  <w:style w:type="paragraph" w:styleId="4">
    <w:name w:val="footer"/>
    <w:basedOn w:val="1"/>
    <w:autoRedefine/>
    <w:qFormat/>
    <w:uiPriority w:val="99"/>
    <w:pPr>
      <w:tabs>
        <w:tab w:val="center" w:pos="4153"/>
        <w:tab w:val="right" w:pos="8306"/>
      </w:tabs>
      <w:snapToGrid w:val="0"/>
      <w:jc w:val="left"/>
    </w:pPr>
    <w:rPr>
      <w:sz w:val="18"/>
      <w:szCs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列出段落1"/>
    <w:basedOn w:val="1"/>
    <w:autoRedefine/>
    <w:qFormat/>
    <w:uiPriority w:val="0"/>
    <w:pPr>
      <w:ind w:firstLine="420" w:firstLineChars="200"/>
    </w:pPr>
  </w:style>
  <w:style w:type="paragraph" w:customStyle="1" w:styleId="10">
    <w:name w:val="Body Text First Indent1"/>
    <w:basedOn w:val="2"/>
    <w:next w:val="5"/>
    <w:autoRedefine/>
    <w:qFormat/>
    <w:uiPriority w:val="0"/>
    <w:pPr>
      <w:ind w:firstLine="420" w:firstLineChars="100"/>
    </w:pPr>
    <w:rPr>
      <w:rFonts w:ascii="Times New Roman" w:hAnsi="Times New Roman"/>
    </w:rPr>
  </w:style>
  <w:style w:type="character" w:customStyle="1" w:styleId="11">
    <w:name w:val="文档结构图 字符"/>
    <w:basedOn w:val="8"/>
    <w:link w:val="3"/>
    <w:autoRedefine/>
    <w:qFormat/>
    <w:uiPriority w:val="0"/>
    <w:rPr>
      <w:rFonts w:ascii="宋体" w:hAnsiTheme="minorHAnsi"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Pages>
  <Words>178</Words>
  <Characters>1019</Characters>
  <Lines>8</Lines>
  <Paragraphs>2</Paragraphs>
  <TotalTime>0</TotalTime>
  <ScaleCrop>false</ScaleCrop>
  <LinksUpToDate>false</LinksUpToDate>
  <CharactersWithSpaces>1195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2020-12-28T07:36:00Z</dcterms:created>
  <dc:creator>Administrator</dc:creator>
  <cp:lastModifiedBy>云帆</cp:lastModifiedBy>
  <cp:lastPrinted>2024-05-22T02:22:00Z</cp:lastPrinted>
  <dcterms:modified xsi:type="dcterms:W3CDTF">2024-05-22T06:01:12Z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B5A31CC6FA4243B58BC2F76E1E7BE834_12</vt:lpwstr>
  </property>
</Properties>
</file>